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75" w:rsidRPr="00572F02" w:rsidRDefault="00C13337">
      <w:pPr>
        <w:jc w:val="center"/>
        <w:rPr>
          <w:lang w:val="pl-PL"/>
        </w:rPr>
      </w:pPr>
      <w:r w:rsidRPr="00572F02">
        <w:rPr>
          <w:sz w:val="20"/>
          <w:szCs w:val="20"/>
          <w:lang w:val="pl-PL"/>
        </w:rPr>
        <w:t>PRACOWNI PSYCHOFARMAKOLOGII</w:t>
      </w:r>
    </w:p>
    <w:p w:rsidR="00820B75" w:rsidRPr="00572F02" w:rsidRDefault="00C13337">
      <w:pPr>
        <w:jc w:val="center"/>
        <w:rPr>
          <w:lang w:val="pl-PL"/>
        </w:rPr>
      </w:pPr>
      <w:r w:rsidRPr="00572F02">
        <w:rPr>
          <w:sz w:val="20"/>
          <w:szCs w:val="20"/>
          <w:lang w:val="pl-PL"/>
        </w:rPr>
        <w:t>WARSZAWSKI UNIWERSYTET MEDYCZNY</w:t>
      </w:r>
    </w:p>
    <w:p w:rsidR="00820B75" w:rsidRPr="00572F02" w:rsidRDefault="00C13337">
      <w:pPr>
        <w:jc w:val="center"/>
        <w:rPr>
          <w:lang w:val="pl-PL"/>
        </w:rPr>
      </w:pPr>
      <w:r w:rsidRPr="00572F02">
        <w:rPr>
          <w:sz w:val="20"/>
          <w:szCs w:val="20"/>
          <w:lang w:val="pl-PL"/>
        </w:rPr>
        <w:t>KATEDRA I KLINIKA PSYCHIATRYCZNA</w:t>
      </w:r>
    </w:p>
    <w:p w:rsidR="00820B75" w:rsidRPr="00572F02" w:rsidRDefault="00C13337">
      <w:pPr>
        <w:jc w:val="center"/>
        <w:rPr>
          <w:lang w:val="pl-PL"/>
        </w:rPr>
      </w:pPr>
      <w:r w:rsidRPr="00572F02">
        <w:rPr>
          <w:sz w:val="20"/>
          <w:szCs w:val="20"/>
          <w:lang w:val="pl-PL"/>
        </w:rPr>
        <w:t>00-665 Warszawa ul. Nowowiejska 27</w:t>
      </w:r>
    </w:p>
    <w:p w:rsidR="00820B75" w:rsidRPr="00572F02" w:rsidRDefault="00C13337">
      <w:pPr>
        <w:jc w:val="center"/>
        <w:rPr>
          <w:lang w:val="pl-PL"/>
        </w:rPr>
      </w:pPr>
      <w:r w:rsidRPr="00572F02">
        <w:rPr>
          <w:sz w:val="20"/>
          <w:szCs w:val="20"/>
          <w:lang w:val="pl-PL"/>
        </w:rPr>
        <w:t>Tel. (22) 8252031 wew. 343</w:t>
      </w:r>
    </w:p>
    <w:p w:rsidR="00820B75" w:rsidRPr="00572F02" w:rsidRDefault="00820B75">
      <w:pPr>
        <w:jc w:val="center"/>
        <w:rPr>
          <w:lang w:val="pl-PL"/>
        </w:rPr>
      </w:pPr>
    </w:p>
    <w:p w:rsidR="00820B75" w:rsidRPr="00572F02" w:rsidRDefault="00C13337">
      <w:pPr>
        <w:shd w:val="clear" w:color="auto" w:fill="F2F2F2"/>
        <w:jc w:val="center"/>
        <w:rPr>
          <w:lang w:val="pl-PL"/>
        </w:rPr>
      </w:pPr>
      <w:r w:rsidRPr="00572F02">
        <w:rPr>
          <w:b/>
          <w:bCs/>
          <w:lang w:val="pl-PL"/>
        </w:rPr>
        <w:t>PROCEDURA POBIERANIA,  PRZECHOWYWANIA I TRANSPORTU MATERIAŁU DO BADAŃ Z ZAKRESU TERAPII MONITOROWANEJ STĘŻENIEM LEKU</w:t>
      </w:r>
    </w:p>
    <w:p w:rsidR="00820B75" w:rsidRPr="00572F02" w:rsidRDefault="00820B75">
      <w:pPr>
        <w:shd w:val="clear" w:color="auto" w:fill="FFFFFF"/>
        <w:jc w:val="center"/>
        <w:rPr>
          <w:lang w:val="pl-PL"/>
        </w:rPr>
      </w:pPr>
    </w:p>
    <w:p w:rsidR="00820B75" w:rsidRPr="00572F02" w:rsidRDefault="00820B75">
      <w:pPr>
        <w:shd w:val="clear" w:color="auto" w:fill="FFFFFF"/>
        <w:jc w:val="center"/>
        <w:rPr>
          <w:lang w:val="pl-PL"/>
        </w:rPr>
      </w:pPr>
    </w:p>
    <w:p w:rsidR="00820B75" w:rsidRDefault="00C13337">
      <w:pPr>
        <w:pStyle w:val="Akapitzlist"/>
        <w:shd w:val="clear" w:color="auto" w:fill="FFFFFF"/>
      </w:pPr>
      <w:r>
        <w:rPr>
          <w:b/>
          <w:bCs/>
        </w:rPr>
        <w:t>ZALECENIA OGÓLNE</w:t>
      </w:r>
    </w:p>
    <w:p w:rsidR="00820B75" w:rsidRDefault="00C13337" w:rsidP="00572F02">
      <w:pPr>
        <w:pStyle w:val="Akapitzlist"/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572F02">
        <w:rPr>
          <w:lang w:val="pl-PL"/>
        </w:rPr>
        <w:t xml:space="preserve">Krew należy pobrać rano, przed podaniem kolejnej dawki leku. Ocenę stężenia leku we krwi wykonać po co najmniej 4 okresach półtrwania oznaczanego leku od momentu rozpoczęciu terapii lub zmianie dawki. </w:t>
      </w:r>
    </w:p>
    <w:p w:rsidR="00A31971" w:rsidRPr="00572F02" w:rsidRDefault="00A31971" w:rsidP="00A31971">
      <w:pPr>
        <w:pStyle w:val="Akapitzlist"/>
        <w:shd w:val="clear" w:color="auto" w:fill="FFFFFF"/>
        <w:ind w:left="1080"/>
        <w:jc w:val="both"/>
        <w:rPr>
          <w:lang w:val="pl-PL"/>
        </w:rPr>
      </w:pP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70"/>
        <w:gridCol w:w="6677"/>
      </w:tblGrid>
      <w:tr w:rsidR="00820B75" w:rsidRPr="00CE47D7">
        <w:trPr>
          <w:trHeight w:val="6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leku</w:t>
            </w:r>
            <w:proofErr w:type="spellEnd"/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Pr="00572F02" w:rsidRDefault="00C13337">
            <w:pPr>
              <w:rPr>
                <w:lang w:val="pl-PL"/>
              </w:rPr>
            </w:pPr>
            <w:r w:rsidRPr="00572F02">
              <w:rPr>
                <w:lang w:val="pl-PL"/>
              </w:rPr>
              <w:t>Optymalny czas po którym zaleca się wykonanie badania TDM</w:t>
            </w:r>
          </w:p>
        </w:tc>
      </w:tr>
      <w:tr w:rsidR="00820B75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proofErr w:type="spellStart"/>
            <w:r>
              <w:t>Klozapina</w:t>
            </w:r>
            <w:proofErr w:type="spellEnd"/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r>
              <w:t xml:space="preserve">7 </w:t>
            </w:r>
            <w:proofErr w:type="spellStart"/>
            <w:r>
              <w:t>dni</w:t>
            </w:r>
            <w:proofErr w:type="spellEnd"/>
            <w:r>
              <w:t xml:space="preserve"> (t1/2 =12-16 h)</w:t>
            </w:r>
          </w:p>
        </w:tc>
      </w:tr>
      <w:tr w:rsidR="00820B75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proofErr w:type="spellStart"/>
            <w:r>
              <w:t>Klomipramina</w:t>
            </w:r>
            <w:proofErr w:type="spellEnd"/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r>
              <w:t xml:space="preserve">7 </w:t>
            </w:r>
            <w:proofErr w:type="spellStart"/>
            <w:r>
              <w:t>dni</w:t>
            </w:r>
            <w:proofErr w:type="spellEnd"/>
            <w:r>
              <w:t xml:space="preserve"> (t1/2 = 16-60 h)</w:t>
            </w:r>
          </w:p>
        </w:tc>
      </w:tr>
      <w:tr w:rsidR="00820B75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proofErr w:type="spellStart"/>
            <w:r>
              <w:t>Fluoksetyna</w:t>
            </w:r>
            <w:proofErr w:type="spellEnd"/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r>
              <w:t xml:space="preserve">16 </w:t>
            </w:r>
            <w:proofErr w:type="spellStart"/>
            <w:r>
              <w:t>dni</w:t>
            </w:r>
            <w:proofErr w:type="spellEnd"/>
            <w:r>
              <w:t xml:space="preserve"> (t1/2 = 4-6 </w:t>
            </w:r>
            <w:proofErr w:type="spellStart"/>
            <w:r>
              <w:t>dni</w:t>
            </w:r>
            <w:proofErr w:type="spellEnd"/>
            <w:r>
              <w:t>)</w:t>
            </w:r>
          </w:p>
        </w:tc>
      </w:tr>
    </w:tbl>
    <w:p w:rsidR="00820B75" w:rsidRDefault="00820B75">
      <w:pPr>
        <w:shd w:val="clear" w:color="auto" w:fill="FFFFFF"/>
      </w:pPr>
    </w:p>
    <w:p w:rsidR="00820B75" w:rsidRDefault="00C13337" w:rsidP="00572F02">
      <w:pPr>
        <w:pStyle w:val="Akapitzlist"/>
        <w:numPr>
          <w:ilvl w:val="0"/>
          <w:numId w:val="3"/>
        </w:numPr>
        <w:shd w:val="clear" w:color="auto" w:fill="FFFFFF"/>
        <w:jc w:val="both"/>
        <w:rPr>
          <w:lang w:val="pl-PL"/>
        </w:rPr>
      </w:pPr>
      <w:r w:rsidRPr="00572F02">
        <w:rPr>
          <w:lang w:val="pl-PL"/>
        </w:rPr>
        <w:t>Badania wykonywane są z surowicy. Krew obwodową należy pobrać w odpowiednie probówki na skrzep o zalecanej objętości.</w:t>
      </w:r>
    </w:p>
    <w:p w:rsidR="00D624E7" w:rsidRPr="00572F02" w:rsidRDefault="00D624E7" w:rsidP="00D624E7">
      <w:pPr>
        <w:pStyle w:val="Akapitzlist"/>
        <w:shd w:val="clear" w:color="auto" w:fill="FFFFFF"/>
        <w:ind w:left="1080"/>
        <w:jc w:val="both"/>
        <w:rPr>
          <w:lang w:val="pl-PL"/>
        </w:rPr>
      </w:pP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8"/>
        <w:gridCol w:w="3681"/>
        <w:gridCol w:w="3118"/>
      </w:tblGrid>
      <w:tr w:rsidR="00820B75">
        <w:trPr>
          <w:trHeight w:val="60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leku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proofErr w:type="spellStart"/>
            <w:r>
              <w:t>Wymagana</w:t>
            </w:r>
            <w:proofErr w:type="spellEnd"/>
            <w:r>
              <w:t xml:space="preserve"> </w:t>
            </w:r>
            <w:proofErr w:type="spellStart"/>
            <w:r>
              <w:t>ilość</w:t>
            </w:r>
            <w:proofErr w:type="spellEnd"/>
            <w:r>
              <w:t xml:space="preserve"> </w:t>
            </w:r>
            <w:proofErr w:type="spellStart"/>
            <w:r>
              <w:t>krwi</w:t>
            </w:r>
            <w:proofErr w:type="spellEnd"/>
            <w:r>
              <w:t xml:space="preserve"> </w:t>
            </w:r>
            <w:proofErr w:type="spellStart"/>
            <w:r>
              <w:t>obwodowej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proofErr w:type="spellStart"/>
            <w:r>
              <w:t>Wymagana</w:t>
            </w:r>
            <w:proofErr w:type="spellEnd"/>
            <w:r>
              <w:t xml:space="preserve"> </w:t>
            </w:r>
            <w:proofErr w:type="spellStart"/>
            <w:r>
              <w:t>ilość</w:t>
            </w:r>
            <w:proofErr w:type="spellEnd"/>
            <w:r>
              <w:t xml:space="preserve"> </w:t>
            </w:r>
            <w:proofErr w:type="spellStart"/>
            <w:r>
              <w:t>surowicy</w:t>
            </w:r>
            <w:proofErr w:type="spellEnd"/>
          </w:p>
        </w:tc>
      </w:tr>
      <w:tr w:rsidR="00820B75">
        <w:trPr>
          <w:trHeight w:val="30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proofErr w:type="spellStart"/>
            <w:r>
              <w:t>Klozapina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r>
              <w:t xml:space="preserve">6 ml – </w:t>
            </w:r>
            <w:proofErr w:type="spellStart"/>
            <w:r>
              <w:t>probówka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skrzep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r>
              <w:t>1,5 ml</w:t>
            </w:r>
          </w:p>
        </w:tc>
      </w:tr>
      <w:tr w:rsidR="00820B75">
        <w:trPr>
          <w:trHeight w:val="30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proofErr w:type="spellStart"/>
            <w:r>
              <w:t>Klomipramina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r>
              <w:t xml:space="preserve">6 ml – </w:t>
            </w:r>
            <w:proofErr w:type="spellStart"/>
            <w:r>
              <w:t>probówka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skrzep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r>
              <w:t>1,5 ml</w:t>
            </w:r>
          </w:p>
        </w:tc>
      </w:tr>
      <w:tr w:rsidR="00820B75">
        <w:trPr>
          <w:trHeight w:val="30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proofErr w:type="spellStart"/>
            <w:r>
              <w:t>Fluoksetyna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r>
              <w:t xml:space="preserve">6 ml – </w:t>
            </w:r>
            <w:proofErr w:type="spellStart"/>
            <w:r>
              <w:t>probówka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skrzep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r>
              <w:t>1,5 ml</w:t>
            </w:r>
          </w:p>
        </w:tc>
      </w:tr>
      <w:tr w:rsidR="00820B75">
        <w:trPr>
          <w:trHeight w:val="90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proofErr w:type="spellStart"/>
            <w:r>
              <w:t>Benzodiazepiny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Pr="00572F02" w:rsidRDefault="00C13337">
            <w:pPr>
              <w:rPr>
                <w:lang w:val="pl-PL"/>
              </w:rPr>
            </w:pPr>
            <w:r w:rsidRPr="00572F02">
              <w:rPr>
                <w:lang w:val="pl-PL"/>
              </w:rPr>
              <w:t>4 ml – probówka na skrzep bez aktywatorów wykrzepiania (dostępne w Pracowni)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B75" w:rsidRDefault="00C13337">
            <w:r>
              <w:t>0,5 ml</w:t>
            </w:r>
          </w:p>
        </w:tc>
      </w:tr>
    </w:tbl>
    <w:p w:rsidR="00A31971" w:rsidRDefault="00A31971" w:rsidP="00A31971">
      <w:pPr>
        <w:pStyle w:val="Akapitzlist"/>
        <w:shd w:val="clear" w:color="auto" w:fill="FFFFFF"/>
        <w:ind w:left="1080"/>
        <w:jc w:val="both"/>
        <w:rPr>
          <w:lang w:val="pl-PL"/>
        </w:rPr>
      </w:pPr>
    </w:p>
    <w:p w:rsidR="00820B75" w:rsidRPr="00572F02" w:rsidRDefault="00C13337" w:rsidP="00572F02">
      <w:pPr>
        <w:pStyle w:val="Akapitzlist"/>
        <w:numPr>
          <w:ilvl w:val="0"/>
          <w:numId w:val="4"/>
        </w:numPr>
        <w:shd w:val="clear" w:color="auto" w:fill="FFFFFF"/>
        <w:jc w:val="both"/>
        <w:rPr>
          <w:lang w:val="pl-PL"/>
        </w:rPr>
      </w:pPr>
      <w:r w:rsidRPr="00572F02">
        <w:rPr>
          <w:lang w:val="pl-PL"/>
        </w:rPr>
        <w:t>Na zleceniu wykonania badania należy określić datę i godzinę  podania ostatniej dawki leku oraz pobrania materiału.</w:t>
      </w:r>
    </w:p>
    <w:p w:rsidR="00820B75" w:rsidRPr="00572F02" w:rsidRDefault="00820B75" w:rsidP="00572F02">
      <w:pPr>
        <w:shd w:val="clear" w:color="auto" w:fill="FFFFFF"/>
        <w:ind w:firstLine="708"/>
        <w:jc w:val="both"/>
        <w:rPr>
          <w:lang w:val="pl-PL"/>
        </w:rPr>
      </w:pPr>
    </w:p>
    <w:p w:rsidR="00820B75" w:rsidRDefault="00C13337">
      <w:pPr>
        <w:shd w:val="clear" w:color="auto" w:fill="FFFFFF"/>
        <w:ind w:firstLine="708"/>
      </w:pPr>
      <w:r>
        <w:rPr>
          <w:b/>
          <w:bCs/>
        </w:rPr>
        <w:t>SPOSÓB POBRANIA</w:t>
      </w:r>
    </w:p>
    <w:p w:rsidR="00820B75" w:rsidRPr="00572F02" w:rsidRDefault="00C13337" w:rsidP="00572F02">
      <w:pPr>
        <w:numPr>
          <w:ilvl w:val="0"/>
          <w:numId w:val="6"/>
        </w:numPr>
        <w:suppressAutoHyphens w:val="0"/>
        <w:spacing w:after="120"/>
        <w:jc w:val="both"/>
        <w:rPr>
          <w:lang w:val="pl-PL"/>
        </w:rPr>
      </w:pPr>
      <w:r w:rsidRPr="00572F02">
        <w:rPr>
          <w:lang w:val="pl-PL"/>
        </w:rPr>
        <w:t>Przed pobraniem krwi osoba pobierająca powinna zidentyfikować tożsamość pacjenta, od którego zostanie pobrany materiał do badań.</w:t>
      </w:r>
    </w:p>
    <w:p w:rsidR="00820B75" w:rsidRPr="00572F02" w:rsidRDefault="00C13337" w:rsidP="00572F02">
      <w:pPr>
        <w:numPr>
          <w:ilvl w:val="0"/>
          <w:numId w:val="6"/>
        </w:numPr>
        <w:suppressAutoHyphens w:val="0"/>
        <w:spacing w:after="120"/>
        <w:jc w:val="both"/>
        <w:rPr>
          <w:lang w:val="pl-PL"/>
        </w:rPr>
      </w:pPr>
      <w:r w:rsidRPr="00572F02">
        <w:rPr>
          <w:lang w:val="pl-PL"/>
        </w:rPr>
        <w:t>Krew pobieraną do badań należy traktować jako materiał zakaźny.</w:t>
      </w:r>
    </w:p>
    <w:p w:rsidR="00820B75" w:rsidRPr="00572F02" w:rsidRDefault="00C13337" w:rsidP="00572F02">
      <w:pPr>
        <w:pStyle w:val="Akapitzlist"/>
        <w:numPr>
          <w:ilvl w:val="0"/>
          <w:numId w:val="7"/>
        </w:numPr>
        <w:shd w:val="clear" w:color="auto" w:fill="FFFFFF"/>
        <w:jc w:val="both"/>
        <w:rPr>
          <w:lang w:val="pl-PL"/>
        </w:rPr>
      </w:pPr>
      <w:r w:rsidRPr="00572F02">
        <w:rPr>
          <w:lang w:val="pl-PL"/>
        </w:rPr>
        <w:t>Przed pobraniem przeprowadzić dezynfekcję rąk.</w:t>
      </w:r>
    </w:p>
    <w:p w:rsidR="00820B75" w:rsidRPr="00572F02" w:rsidRDefault="00C13337" w:rsidP="00CE47D7">
      <w:pPr>
        <w:pStyle w:val="Akapitzlist"/>
        <w:numPr>
          <w:ilvl w:val="0"/>
          <w:numId w:val="7"/>
        </w:numPr>
        <w:shd w:val="clear" w:color="auto" w:fill="FFFFFF"/>
        <w:spacing w:before="240" w:after="100" w:afterAutospacing="1"/>
        <w:ind w:left="1066" w:hanging="357"/>
        <w:jc w:val="both"/>
        <w:rPr>
          <w:lang w:val="pl-PL"/>
        </w:rPr>
      </w:pPr>
      <w:r w:rsidRPr="00572F02">
        <w:rPr>
          <w:lang w:val="pl-PL"/>
        </w:rPr>
        <w:lastRenderedPageBreak/>
        <w:t>Osoba pobierająca krew przy każdym chorym powinna stosować nową parę rękawiczek jednorazowego użytku.</w:t>
      </w:r>
      <w:bookmarkStart w:id="0" w:name="_GoBack"/>
      <w:bookmarkEnd w:id="0"/>
    </w:p>
    <w:p w:rsidR="00820B75" w:rsidRPr="00572F02" w:rsidRDefault="00C13337" w:rsidP="00CE47D7">
      <w:pPr>
        <w:pStyle w:val="Akapitzlist"/>
        <w:numPr>
          <w:ilvl w:val="0"/>
          <w:numId w:val="7"/>
        </w:numPr>
        <w:shd w:val="clear" w:color="auto" w:fill="FFFFFF"/>
        <w:spacing w:before="240"/>
        <w:ind w:left="1066" w:hanging="357"/>
        <w:jc w:val="both"/>
        <w:rPr>
          <w:lang w:val="pl-PL"/>
        </w:rPr>
      </w:pPr>
      <w:r w:rsidRPr="00572F02">
        <w:rPr>
          <w:lang w:val="pl-PL"/>
        </w:rPr>
        <w:t>Krew do badań powinna być pobrana w sposób jałowy.</w:t>
      </w:r>
    </w:p>
    <w:p w:rsidR="00820B75" w:rsidRPr="00572F02" w:rsidRDefault="00C13337" w:rsidP="00CE47D7">
      <w:pPr>
        <w:numPr>
          <w:ilvl w:val="0"/>
          <w:numId w:val="6"/>
        </w:numPr>
        <w:suppressAutoHyphens w:val="0"/>
        <w:spacing w:before="240"/>
        <w:jc w:val="both"/>
        <w:rPr>
          <w:lang w:val="pl-PL"/>
        </w:rPr>
      </w:pPr>
      <w:r w:rsidRPr="00572F02">
        <w:rPr>
          <w:lang w:val="pl-PL"/>
        </w:rPr>
        <w:t>Osoba pobierająca powinna oznakować probówki z krwią imieniem</w:t>
      </w:r>
      <w:r w:rsidRPr="00572F02">
        <w:rPr>
          <w:rFonts w:ascii="Arial Unicode MS" w:hAnsi="Arial Unicode MS"/>
          <w:lang w:val="pl-PL"/>
        </w:rPr>
        <w:br/>
      </w:r>
      <w:r w:rsidRPr="00572F02">
        <w:rPr>
          <w:lang w:val="pl-PL"/>
        </w:rPr>
        <w:t xml:space="preserve">i nazwiskiem </w:t>
      </w:r>
      <w:r w:rsidR="00A31971" w:rsidRPr="00572F02">
        <w:rPr>
          <w:lang w:val="pl-PL"/>
        </w:rPr>
        <w:t xml:space="preserve">oraz datą urodzenia </w:t>
      </w:r>
      <w:r w:rsidRPr="00572F02">
        <w:rPr>
          <w:lang w:val="pl-PL"/>
        </w:rPr>
        <w:t>osoby kierowanej na badania, a następnie sprawdzić zgodność danych umieszczonych na probówce z danymi na zleceniu badania oraz ze zweryfikowanymi danymi osoby, od której pobrana została krew na badania.</w:t>
      </w:r>
    </w:p>
    <w:p w:rsidR="00820B75" w:rsidRPr="00572F02" w:rsidRDefault="00C13337" w:rsidP="00572F02">
      <w:pPr>
        <w:numPr>
          <w:ilvl w:val="0"/>
          <w:numId w:val="6"/>
        </w:numPr>
        <w:suppressAutoHyphens w:val="0"/>
        <w:spacing w:after="120"/>
        <w:jc w:val="both"/>
        <w:rPr>
          <w:lang w:val="pl-PL"/>
        </w:rPr>
      </w:pPr>
      <w:r w:rsidRPr="00572F02">
        <w:rPr>
          <w:lang w:val="pl-PL"/>
        </w:rPr>
        <w:t>Osoba pobierająca powinna złożyć na zleceniu wykonania badań podpis potwierdzający pobranie materiału zgodnie z wymaganiami oraz procedurą pobierania materiału a następnie odnotować na skierowaniu datę i godzinę  pobrania krwi.</w:t>
      </w:r>
    </w:p>
    <w:p w:rsidR="00820B75" w:rsidRPr="00572F02" w:rsidRDefault="00C13337" w:rsidP="00572F02">
      <w:pPr>
        <w:pStyle w:val="Akapitzlist"/>
        <w:numPr>
          <w:ilvl w:val="0"/>
          <w:numId w:val="7"/>
        </w:numPr>
        <w:shd w:val="clear" w:color="auto" w:fill="FFFFFF"/>
        <w:jc w:val="both"/>
        <w:rPr>
          <w:lang w:val="pl-PL"/>
        </w:rPr>
      </w:pPr>
      <w:r w:rsidRPr="00572F02">
        <w:rPr>
          <w:lang w:val="pl-PL"/>
        </w:rPr>
        <w:t>Sprzęt i wyroby medyczne stosowane przy pobieraniu krwi  należy poddać utylizacji zgodnie z procedurą określoną przez Instytucję zlecającą wykonanie badań.</w:t>
      </w:r>
    </w:p>
    <w:p w:rsidR="00820B75" w:rsidRPr="00572F02" w:rsidRDefault="00820B75">
      <w:pPr>
        <w:shd w:val="clear" w:color="auto" w:fill="FFFFFF"/>
        <w:rPr>
          <w:lang w:val="pl-PL"/>
        </w:rPr>
      </w:pPr>
    </w:p>
    <w:p w:rsidR="00820B75" w:rsidRPr="00572F02" w:rsidRDefault="00820B75">
      <w:pPr>
        <w:shd w:val="clear" w:color="auto" w:fill="FFFFFF"/>
        <w:rPr>
          <w:lang w:val="pl-PL"/>
        </w:rPr>
      </w:pPr>
    </w:p>
    <w:p w:rsidR="00820B75" w:rsidRDefault="00C13337">
      <w:pPr>
        <w:shd w:val="clear" w:color="auto" w:fill="FFFFFF"/>
      </w:pPr>
      <w:r w:rsidRPr="00572F02">
        <w:rPr>
          <w:b/>
          <w:bCs/>
          <w:lang w:val="pl-PL"/>
        </w:rPr>
        <w:tab/>
      </w:r>
      <w:r>
        <w:rPr>
          <w:b/>
          <w:bCs/>
        </w:rPr>
        <w:t>PRZECHOWYWANIE I TRANSPORT</w:t>
      </w:r>
    </w:p>
    <w:p w:rsidR="00820B75" w:rsidRPr="00572F02" w:rsidRDefault="00C13337" w:rsidP="00D624E7">
      <w:pPr>
        <w:pStyle w:val="Akapitzlist"/>
        <w:numPr>
          <w:ilvl w:val="0"/>
          <w:numId w:val="9"/>
        </w:numPr>
        <w:shd w:val="clear" w:color="auto" w:fill="FFFFFF"/>
        <w:jc w:val="both"/>
        <w:rPr>
          <w:lang w:val="pl-PL"/>
        </w:rPr>
      </w:pPr>
      <w:r w:rsidRPr="00572F02">
        <w:rPr>
          <w:lang w:val="pl-PL"/>
        </w:rPr>
        <w:t>Krew pełną należy dostarczyć jak najszybciej do Pracowni Psychofarmakologii.</w:t>
      </w:r>
    </w:p>
    <w:p w:rsidR="00820B75" w:rsidRPr="00572F02" w:rsidRDefault="00820B75" w:rsidP="00D624E7">
      <w:pPr>
        <w:pStyle w:val="Akapitzlist"/>
        <w:shd w:val="clear" w:color="auto" w:fill="FFFFFF"/>
        <w:ind w:left="709"/>
        <w:jc w:val="both"/>
        <w:rPr>
          <w:lang w:val="pl-PL"/>
        </w:rPr>
      </w:pPr>
    </w:p>
    <w:p w:rsidR="00820B75" w:rsidRPr="00572F02" w:rsidRDefault="00C13337" w:rsidP="00D624E7">
      <w:pPr>
        <w:pStyle w:val="Akapitzlist"/>
        <w:numPr>
          <w:ilvl w:val="0"/>
          <w:numId w:val="10"/>
        </w:numPr>
        <w:suppressAutoHyphens w:val="0"/>
        <w:spacing w:after="120"/>
        <w:jc w:val="both"/>
        <w:rPr>
          <w:lang w:val="pl-PL"/>
        </w:rPr>
      </w:pPr>
      <w:r w:rsidRPr="00572F02">
        <w:rPr>
          <w:lang w:val="pl-PL"/>
        </w:rPr>
        <w:t>Jeśli nie przewiduje się natychmiastowego przesłania krwi pełnej lub surowicy, należy odseparowaną surowicę przechowywać w lodówce (temp. 4 °C, w ciemności) nie dłużej niż 24 h bez konieczności zamrażania. Jeśli przewidywany jest dłuższy czas przechowywania: surowicę należy zamrozić natychmiast po odseparowaniu w temperaturze poniżej -20</w:t>
      </w:r>
      <w:r w:rsidRPr="00572F02">
        <w:rPr>
          <w:vertAlign w:val="superscript"/>
          <w:lang w:val="pl-PL"/>
        </w:rPr>
        <w:t>o</w:t>
      </w:r>
      <w:r w:rsidRPr="00572F02">
        <w:rPr>
          <w:lang w:val="pl-PL"/>
        </w:rPr>
        <w:t>C.</w:t>
      </w:r>
    </w:p>
    <w:p w:rsidR="00820B75" w:rsidRPr="00572F02" w:rsidRDefault="00C13337" w:rsidP="00572F02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lang w:val="pl-PL"/>
        </w:rPr>
      </w:pPr>
      <w:r w:rsidRPr="00572F02">
        <w:rPr>
          <w:lang w:val="pl-PL"/>
        </w:rPr>
        <w:t>W celu uzyskania surowicy, pobraną próbkę krwi należy pozostawić w temperaturze pokojowej przez 15-30 minut do czasu powstania skrzepu, a następnie odwirować przez 10 minut przy sile 3000-3500 obr./min.. Następnie surowicę należy oddzielić od skrzepu przenosząc ją przy pomocy pipety Pasteura lub pipety automatycznej z odpowiednią końcówką, do czystej probówki którą należy szczelnie zamknąć.</w:t>
      </w:r>
    </w:p>
    <w:p w:rsidR="00820B75" w:rsidRPr="00572F02" w:rsidRDefault="00C13337" w:rsidP="00572F02">
      <w:pPr>
        <w:pStyle w:val="Akapitzlist"/>
        <w:numPr>
          <w:ilvl w:val="0"/>
          <w:numId w:val="9"/>
        </w:numPr>
        <w:jc w:val="both"/>
        <w:rPr>
          <w:lang w:val="pl-PL"/>
        </w:rPr>
      </w:pPr>
      <w:r w:rsidRPr="00572F02">
        <w:rPr>
          <w:lang w:val="pl-PL"/>
        </w:rPr>
        <w:t xml:space="preserve">Materiał opisany imieniem i nazwiskiem pacjenta wraz z dołączonym skierowaniem należy transportować w zamkniętych pojemnikach oznakowanych „Materiał </w:t>
      </w:r>
      <w:r w:rsidR="00D624E7">
        <w:rPr>
          <w:lang w:val="pl-PL"/>
        </w:rPr>
        <w:t xml:space="preserve">zakaźny”. </w:t>
      </w:r>
      <w:r w:rsidRPr="00572F02">
        <w:rPr>
          <w:lang w:val="pl-PL"/>
        </w:rPr>
        <w:t>Skierowania na badania powinny być zabezpieczone w sposób uniemożliwiający kontakt z materiałem biologicznym.</w:t>
      </w:r>
    </w:p>
    <w:p w:rsidR="00820B75" w:rsidRPr="00572F02" w:rsidRDefault="00820B75" w:rsidP="00572F02">
      <w:pPr>
        <w:jc w:val="both"/>
        <w:rPr>
          <w:lang w:val="pl-PL"/>
        </w:rPr>
      </w:pPr>
    </w:p>
    <w:p w:rsidR="00820B75" w:rsidRPr="00572F02" w:rsidRDefault="00C13337" w:rsidP="00572F02">
      <w:pPr>
        <w:pStyle w:val="Akapitzlist"/>
        <w:numPr>
          <w:ilvl w:val="0"/>
          <w:numId w:val="9"/>
        </w:numPr>
        <w:jc w:val="both"/>
        <w:rPr>
          <w:lang w:val="pl-PL"/>
        </w:rPr>
      </w:pPr>
      <w:r w:rsidRPr="00572F02">
        <w:rPr>
          <w:lang w:val="pl-PL"/>
        </w:rPr>
        <w:t>Pojemniki z materiałem powinny być umieszczone w opakowaniach pośrednich w taki sposób, aby w normalnych warunkach przewozu nie mogły być rozbite lub ich zawartość nie uwolniła się do opakowania pośredniego.</w:t>
      </w:r>
    </w:p>
    <w:p w:rsidR="00820B75" w:rsidRPr="00572F02" w:rsidRDefault="00820B75" w:rsidP="00572F02">
      <w:pPr>
        <w:jc w:val="both"/>
        <w:rPr>
          <w:lang w:val="pl-PL"/>
        </w:rPr>
      </w:pPr>
    </w:p>
    <w:p w:rsidR="00820B75" w:rsidRPr="00572F02" w:rsidRDefault="00C13337" w:rsidP="00572F02">
      <w:pPr>
        <w:pStyle w:val="Akapitzlist"/>
        <w:numPr>
          <w:ilvl w:val="0"/>
          <w:numId w:val="9"/>
        </w:numPr>
        <w:jc w:val="both"/>
        <w:rPr>
          <w:lang w:val="pl-PL"/>
        </w:rPr>
      </w:pPr>
      <w:r w:rsidRPr="00572F02">
        <w:rPr>
          <w:lang w:val="pl-PL"/>
        </w:rPr>
        <w:t>Pojemniki do transportu materiału biologicznego należy po każdym użyciu dezynfekować obowiązującym w jednostce zleceniodawcy środkiem do dezynfekcji</w:t>
      </w:r>
    </w:p>
    <w:p w:rsidR="00820B75" w:rsidRPr="00572F02" w:rsidRDefault="00820B75" w:rsidP="00572F02">
      <w:pPr>
        <w:jc w:val="both"/>
        <w:rPr>
          <w:lang w:val="pl-PL"/>
        </w:rPr>
      </w:pPr>
    </w:p>
    <w:p w:rsidR="00820B75" w:rsidRPr="00572F02" w:rsidRDefault="00C13337" w:rsidP="00572F02">
      <w:pPr>
        <w:pStyle w:val="Akapitzlist"/>
        <w:numPr>
          <w:ilvl w:val="0"/>
          <w:numId w:val="9"/>
        </w:numPr>
        <w:jc w:val="both"/>
        <w:rPr>
          <w:lang w:val="pl-PL"/>
        </w:rPr>
      </w:pPr>
      <w:r w:rsidRPr="00572F02">
        <w:rPr>
          <w:lang w:val="pl-PL"/>
        </w:rPr>
        <w:t>Materiał należy transportować w odpowiedniej temperaturze: krew pełną w temp. pokojowej, surowicę nie zamrożoną w temperaturze lodówki (4-8 °C), surowicę zamrożoną w suchym lodzie bądź zamrażarce.</w:t>
      </w:r>
    </w:p>
    <w:p w:rsidR="00820B75" w:rsidRPr="00572F02" w:rsidRDefault="00820B75" w:rsidP="00572F02">
      <w:pPr>
        <w:jc w:val="both"/>
        <w:rPr>
          <w:lang w:val="pl-PL"/>
        </w:rPr>
      </w:pPr>
    </w:p>
    <w:p w:rsidR="00820B75" w:rsidRPr="00572F02" w:rsidRDefault="00C13337" w:rsidP="00572F02">
      <w:pPr>
        <w:pStyle w:val="Akapitzlist"/>
        <w:numPr>
          <w:ilvl w:val="0"/>
          <w:numId w:val="9"/>
        </w:numPr>
        <w:jc w:val="both"/>
        <w:rPr>
          <w:lang w:val="pl-PL"/>
        </w:rPr>
      </w:pPr>
      <w:r w:rsidRPr="00572F02">
        <w:rPr>
          <w:lang w:val="pl-PL"/>
        </w:rPr>
        <w:t>Laboratorium zastrzega sobie możliwość ponownego pobrania materiału biologicznego, w sytuacji gdy nie jest możliwe wydania informatywnego wyniku z przyczyn niezależnych od laboratorium.</w:t>
      </w:r>
    </w:p>
    <w:sectPr w:rsidR="00820B75" w:rsidRPr="00572F0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19" w:rsidRDefault="00C13337">
      <w:r>
        <w:separator/>
      </w:r>
    </w:p>
  </w:endnote>
  <w:endnote w:type="continuationSeparator" w:id="0">
    <w:p w:rsidR="00B81119" w:rsidRDefault="00C1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75" w:rsidRDefault="00820B75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19" w:rsidRDefault="00C13337">
      <w:r>
        <w:separator/>
      </w:r>
    </w:p>
  </w:footnote>
  <w:footnote w:type="continuationSeparator" w:id="0">
    <w:p w:rsidR="00B81119" w:rsidRDefault="00C1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75" w:rsidRDefault="00820B7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4292"/>
    <w:multiLevelType w:val="hybridMultilevel"/>
    <w:tmpl w:val="183AC1E6"/>
    <w:styleLink w:val="Zaimportowanystyl1"/>
    <w:lvl w:ilvl="0" w:tplc="412EFCA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40F33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F038EA">
      <w:start w:val="1"/>
      <w:numFmt w:val="lowerRoman"/>
      <w:lvlText w:val="%3."/>
      <w:lvlJc w:val="left"/>
      <w:pPr>
        <w:ind w:left="25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1E385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F8C6E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BCFBF6">
      <w:start w:val="1"/>
      <w:numFmt w:val="lowerRoman"/>
      <w:lvlText w:val="%6."/>
      <w:lvlJc w:val="left"/>
      <w:pPr>
        <w:ind w:left="46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2406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A7BB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44C490">
      <w:start w:val="1"/>
      <w:numFmt w:val="lowerRoman"/>
      <w:lvlText w:val="%9."/>
      <w:lvlJc w:val="left"/>
      <w:pPr>
        <w:ind w:left="68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4C261D2"/>
    <w:multiLevelType w:val="hybridMultilevel"/>
    <w:tmpl w:val="07E67AD4"/>
    <w:styleLink w:val="Zaimportowanystyl2"/>
    <w:lvl w:ilvl="0" w:tplc="88802A52">
      <w:start w:val="1"/>
      <w:numFmt w:val="decimal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7EC73A">
      <w:start w:val="1"/>
      <w:numFmt w:val="lowerLetter"/>
      <w:lvlText w:val="%2."/>
      <w:lvlJc w:val="left"/>
      <w:pPr>
        <w:ind w:left="182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524856">
      <w:start w:val="1"/>
      <w:numFmt w:val="lowerRoman"/>
      <w:lvlText w:val="%3."/>
      <w:lvlJc w:val="left"/>
      <w:pPr>
        <w:ind w:left="2533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D89A00">
      <w:start w:val="1"/>
      <w:numFmt w:val="decimal"/>
      <w:lvlText w:val="%4."/>
      <w:lvlJc w:val="left"/>
      <w:pPr>
        <w:ind w:left="326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6279BA">
      <w:start w:val="1"/>
      <w:numFmt w:val="lowerLetter"/>
      <w:lvlText w:val="%5."/>
      <w:lvlJc w:val="left"/>
      <w:pPr>
        <w:ind w:left="398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4C1C30">
      <w:start w:val="1"/>
      <w:numFmt w:val="lowerRoman"/>
      <w:lvlText w:val="%6."/>
      <w:lvlJc w:val="left"/>
      <w:pPr>
        <w:ind w:left="4693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F00F2A">
      <w:start w:val="1"/>
      <w:numFmt w:val="decimal"/>
      <w:lvlText w:val="%7."/>
      <w:lvlJc w:val="left"/>
      <w:pPr>
        <w:ind w:left="542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CF670">
      <w:start w:val="1"/>
      <w:numFmt w:val="lowerLetter"/>
      <w:lvlText w:val="%8."/>
      <w:lvlJc w:val="left"/>
      <w:pPr>
        <w:ind w:left="614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EC7240">
      <w:start w:val="1"/>
      <w:numFmt w:val="lowerRoman"/>
      <w:lvlText w:val="%9."/>
      <w:lvlJc w:val="left"/>
      <w:pPr>
        <w:ind w:left="6853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E3E4345"/>
    <w:multiLevelType w:val="hybridMultilevel"/>
    <w:tmpl w:val="183AC1E6"/>
    <w:numStyleLink w:val="Zaimportowanystyl1"/>
  </w:abstractNum>
  <w:abstractNum w:abstractNumId="3">
    <w:nsid w:val="32B50CD8"/>
    <w:multiLevelType w:val="hybridMultilevel"/>
    <w:tmpl w:val="29503F36"/>
    <w:numStyleLink w:val="Zaimportowanystyl3"/>
  </w:abstractNum>
  <w:abstractNum w:abstractNumId="4">
    <w:nsid w:val="3C264006"/>
    <w:multiLevelType w:val="hybridMultilevel"/>
    <w:tmpl w:val="07E67AD4"/>
    <w:numStyleLink w:val="Zaimportowanystyl2"/>
  </w:abstractNum>
  <w:abstractNum w:abstractNumId="5">
    <w:nsid w:val="3F3520D7"/>
    <w:multiLevelType w:val="hybridMultilevel"/>
    <w:tmpl w:val="29503F36"/>
    <w:styleLink w:val="Zaimportowanystyl3"/>
    <w:lvl w:ilvl="0" w:tplc="7B68C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3E86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FC62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488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58D6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67C82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F62F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1491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4C604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1"/>
  </w:num>
  <w:num w:numId="6">
    <w:abstractNumId w:val="4"/>
  </w:num>
  <w:num w:numId="7">
    <w:abstractNumId w:val="4"/>
    <w:lvlOverride w:ilvl="0">
      <w:lvl w:ilvl="0" w:tplc="E3A25678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628EA8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AA5E1E">
        <w:start w:val="1"/>
        <w:numFmt w:val="lowerRoman"/>
        <w:lvlText w:val="%3."/>
        <w:lvlJc w:val="left"/>
        <w:pPr>
          <w:ind w:left="2508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66A2E8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D29B6C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C63518">
        <w:start w:val="1"/>
        <w:numFmt w:val="lowerRoman"/>
        <w:lvlText w:val="%6."/>
        <w:lvlJc w:val="left"/>
        <w:pPr>
          <w:ind w:left="4668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5EBD62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0632FC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92075E">
        <w:start w:val="1"/>
        <w:numFmt w:val="lowerRoman"/>
        <w:lvlText w:val="%9."/>
        <w:lvlJc w:val="left"/>
        <w:pPr>
          <w:ind w:left="6828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3"/>
  </w:num>
  <w:num w:numId="10">
    <w:abstractNumId w:val="3"/>
    <w:lvlOverride w:ilvl="0">
      <w:lvl w:ilvl="0" w:tplc="0128D3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A0EACE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123F90">
        <w:start w:val="1"/>
        <w:numFmt w:val="lowerRoman"/>
        <w:lvlText w:val="%3."/>
        <w:lvlJc w:val="left"/>
        <w:pPr>
          <w:ind w:left="2185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E46BE2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FCD744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20E9FE">
        <w:start w:val="1"/>
        <w:numFmt w:val="lowerRoman"/>
        <w:lvlText w:val="%6."/>
        <w:lvlJc w:val="left"/>
        <w:pPr>
          <w:ind w:left="4345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66AE1C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281E66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F20D9C">
        <w:start w:val="1"/>
        <w:numFmt w:val="lowerRoman"/>
        <w:lvlText w:val="%9."/>
        <w:lvlJc w:val="left"/>
        <w:pPr>
          <w:ind w:left="6505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0B75"/>
    <w:rsid w:val="00572F02"/>
    <w:rsid w:val="00820B75"/>
    <w:rsid w:val="00A31971"/>
    <w:rsid w:val="00B81119"/>
    <w:rsid w:val="00C13337"/>
    <w:rsid w:val="00CE47D7"/>
    <w:rsid w:val="00D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Mach</dc:creator>
  <cp:lastModifiedBy>Anna Mach</cp:lastModifiedBy>
  <cp:revision>6</cp:revision>
  <dcterms:created xsi:type="dcterms:W3CDTF">2016-03-31T06:25:00Z</dcterms:created>
  <dcterms:modified xsi:type="dcterms:W3CDTF">2017-06-02T11:16:00Z</dcterms:modified>
</cp:coreProperties>
</file>